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7CA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val="en-US" w:eastAsia="en-ZA"/>
          <w14:ligatures w14:val="none"/>
        </w:rPr>
        <w:t>Dear Stakeholder,</w:t>
      </w:r>
    </w:p>
    <w:p w14:paraId="3F376012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val="en-US" w:eastAsia="en-ZA"/>
          <w14:ligatures w14:val="none"/>
        </w:rPr>
        <w:t> </w:t>
      </w:r>
    </w:p>
    <w:p w14:paraId="4A6D7B83" w14:textId="2A02B04F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val="en-US" w:eastAsia="en-ZA"/>
          <w14:ligatures w14:val="none"/>
        </w:rPr>
        <w:t xml:space="preserve">The BANKSETA invites all registered, </w:t>
      </w:r>
      <w:r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val="en-US" w:eastAsia="en-ZA"/>
          <w14:ligatures w14:val="none"/>
        </w:rPr>
        <w:t>levy-paying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val="en-US" w:eastAsia="en-ZA"/>
          <w14:ligatures w14:val="none"/>
        </w:rPr>
        <w:t xml:space="preserve"> employers to apply for the 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bdr w:val="none" w:sz="0" w:space="0" w:color="auto" w:frame="1"/>
          <w:lang w:val="en-US" w:eastAsia="en-ZA"/>
          <w14:ligatures w14:val="none"/>
        </w:rPr>
        <w:t>Discretionary Grant Funding Window for Levy Payers.</w:t>
      </w:r>
    </w:p>
    <w:p w14:paraId="65283CC9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</w:t>
      </w:r>
    </w:p>
    <w:p w14:paraId="53B0CFF2" w14:textId="7D355819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The 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bdr w:val="none" w:sz="0" w:space="0" w:color="auto" w:frame="1"/>
          <w:lang w:eastAsia="en-ZA"/>
          <w14:ligatures w14:val="none"/>
        </w:rPr>
        <w:t>Discretionary Grant Funding Window for Levy Payers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opens on </w:t>
      </w:r>
      <w:r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>18 December 202</w:t>
      </w:r>
      <w:r w:rsidR="00D52CE1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>3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 xml:space="preserve"> and closes on </w:t>
      </w:r>
      <w:r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>Wednesday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>, 28 February 202</w:t>
      </w:r>
      <w:r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4</w:t>
      </w:r>
      <w:r w:rsidR="00C85694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 at 16h00.</w:t>
      </w:r>
    </w:p>
    <w:p w14:paraId="41266A74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</w:t>
      </w:r>
    </w:p>
    <w:p w14:paraId="79CEC16C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The following documentation is available for your perusal:</w:t>
      </w:r>
    </w:p>
    <w:p w14:paraId="0BDF51E9" w14:textId="77777777" w:rsidR="008D3C98" w:rsidRPr="008D3C98" w:rsidRDefault="008D3C98" w:rsidP="008D3C9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</w:t>
      </w:r>
    </w:p>
    <w:tbl>
      <w:tblPr>
        <w:tblW w:w="111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6206"/>
      </w:tblGrid>
      <w:tr w:rsidR="008D3C98" w:rsidRPr="008D3C98" w14:paraId="36541897" w14:textId="77777777" w:rsidTr="008D3C98">
        <w:trPr>
          <w:trHeight w:val="682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0CEC" w14:textId="77777777" w:rsidR="008D3C98" w:rsidRPr="008D3C98" w:rsidRDefault="008D3C98" w:rsidP="008D3C98">
            <w:pPr>
              <w:spacing w:after="0"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Document</w:t>
            </w:r>
          </w:p>
        </w:tc>
        <w:tc>
          <w:tcPr>
            <w:tcW w:w="6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72D5" w14:textId="77777777" w:rsidR="008D3C98" w:rsidRPr="008D3C98" w:rsidRDefault="008D3C98" w:rsidP="008D3C98">
            <w:pPr>
              <w:spacing w:after="0"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Purpose</w:t>
            </w:r>
          </w:p>
        </w:tc>
      </w:tr>
      <w:tr w:rsidR="008D3C98" w:rsidRPr="008D3C98" w14:paraId="4B5051FB" w14:textId="77777777" w:rsidTr="008D3C98">
        <w:trPr>
          <w:trHeight w:val="1128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03012" w14:textId="77777777" w:rsidR="008D3C98" w:rsidRPr="008D3C98" w:rsidRDefault="008D3C98" w:rsidP="008D3C98">
            <w:pPr>
              <w:spacing w:after="0"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Discretionary Grant Funding Window Guidelines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0CDC" w14:textId="77777777" w:rsidR="008D3C98" w:rsidRPr="008D3C98" w:rsidRDefault="008D3C98" w:rsidP="008D3C98">
            <w:pPr>
              <w:numPr>
                <w:ilvl w:val="0"/>
                <w:numId w:val="1"/>
              </w:numPr>
              <w:spacing w:after="0" w:line="231" w:lineRule="atLeast"/>
              <w:ind w:left="144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This document provides guidelines for the application and approval of the BANKSETA Discretionary Grant Funding Window.</w:t>
            </w:r>
          </w:p>
          <w:p w14:paraId="51D74A75" w14:textId="778649C2" w:rsidR="008D3C98" w:rsidRPr="008D3C98" w:rsidRDefault="008D3C98" w:rsidP="008D3C98">
            <w:pPr>
              <w:numPr>
                <w:ilvl w:val="0"/>
                <w:numId w:val="1"/>
              </w:numPr>
              <w:spacing w:after="0" w:line="231" w:lineRule="atLeast"/>
              <w:ind w:left="144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Please read through</w:t>
            </w:r>
            <w:r w:rsidRPr="008D3C9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 it</w:t>
            </w: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 carefully </w:t>
            </w:r>
            <w:r w:rsidRPr="008D3C9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to </w:t>
            </w: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ensure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you follow the attached guidelines</w:t>
            </w: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.</w:t>
            </w:r>
          </w:p>
        </w:tc>
      </w:tr>
      <w:tr w:rsidR="008D3C98" w:rsidRPr="008D3C98" w14:paraId="6CF0C7A3" w14:textId="77777777" w:rsidTr="008D3C98">
        <w:trPr>
          <w:trHeight w:val="78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5DE1A" w14:textId="0625C081" w:rsidR="008D3C98" w:rsidRPr="008D3C98" w:rsidRDefault="008D3C98" w:rsidP="008D3C98">
            <w:pPr>
              <w:spacing w:after="0"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Application Form</w:t>
            </w:r>
            <w:r w:rsidR="00A800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s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611" w14:textId="74248D53" w:rsidR="008D3C98" w:rsidRPr="008D3C98" w:rsidRDefault="008D3C98" w:rsidP="008D3C98">
            <w:pPr>
              <w:spacing w:after="0" w:line="231" w:lineRule="atLeast"/>
              <w:ind w:left="360" w:hanging="360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·        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Application Forms for each category are </w:t>
            </w: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mentioned in the Discretionary Grant Funding Window Guidelines.</w:t>
            </w:r>
          </w:p>
          <w:p w14:paraId="50EC5639" w14:textId="77777777" w:rsidR="008D3C98" w:rsidRPr="008D3C98" w:rsidRDefault="008D3C98" w:rsidP="008D3C98">
            <w:pPr>
              <w:spacing w:after="0"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 </w:t>
            </w:r>
          </w:p>
          <w:p w14:paraId="15B49FB4" w14:textId="66EB8429" w:rsidR="008D3C98" w:rsidRPr="008D3C98" w:rsidRDefault="008D3C98" w:rsidP="008D3C98">
            <w:pPr>
              <w:spacing w:after="0" w:line="231" w:lineRule="atLeast"/>
              <w:ind w:left="360" w:hanging="360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·        Kindly complete the correct application form for the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right</w:t>
            </w: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 category.</w:t>
            </w:r>
          </w:p>
          <w:p w14:paraId="4D5F6B72" w14:textId="730261D4" w:rsidR="008D3C98" w:rsidRPr="008D3C98" w:rsidRDefault="00980406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Workers enrolled in Learnerships</w:t>
            </w:r>
            <w:r w:rsidR="008D3C98"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 for Employed</w:t>
            </w:r>
          </w:p>
          <w:p w14:paraId="60A9D0F3" w14:textId="757B7E4B" w:rsidR="008D3C98" w:rsidRPr="008D3C98" w:rsidRDefault="00980406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Workers granted </w:t>
            </w:r>
            <w:r w:rsidR="008D3C98"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Bursaries for Employed – New</w:t>
            </w:r>
          </w:p>
          <w:p w14:paraId="6DC1E0A0" w14:textId="4187A56C" w:rsidR="008D3C98" w:rsidRPr="008D3C98" w:rsidRDefault="00980406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Workers granted </w:t>
            </w:r>
            <w:r w:rsidR="008D3C98"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Bursaries for Employed – Continuing</w:t>
            </w:r>
          </w:p>
          <w:p w14:paraId="41D35EF9" w14:textId="5C034019" w:rsidR="008D3C98" w:rsidRPr="008D3C98" w:rsidRDefault="00980406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Workers enrolled in S</w:t>
            </w:r>
            <w:r w:rsidR="008D3C98"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kills Programmes </w:t>
            </w:r>
          </w:p>
          <w:p w14:paraId="64EF523E" w14:textId="77777777" w:rsidR="008D3C98" w:rsidRPr="008D3C98" w:rsidRDefault="008D3C98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Online Short Courses for Employed</w:t>
            </w:r>
          </w:p>
          <w:p w14:paraId="4C3301EB" w14:textId="77777777" w:rsidR="008D3C98" w:rsidRPr="008D3C98" w:rsidRDefault="008D3C98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IT Skills Funding for Employed</w:t>
            </w:r>
          </w:p>
          <w:p w14:paraId="5BDD75B4" w14:textId="77777777" w:rsidR="008D3C98" w:rsidRPr="008D3C98" w:rsidRDefault="008D3C98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lastRenderedPageBreak/>
              <w:t>Learnerships for Unemployed Youth</w:t>
            </w:r>
          </w:p>
          <w:p w14:paraId="59F9525B" w14:textId="77777777" w:rsidR="008D3C98" w:rsidRPr="008D3C98" w:rsidRDefault="008D3C98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Internships for Unemployed Youth</w:t>
            </w:r>
          </w:p>
          <w:p w14:paraId="4CD95057" w14:textId="77777777" w:rsidR="008D3C98" w:rsidRPr="008D3C98" w:rsidRDefault="008D3C98" w:rsidP="008D3C98">
            <w:pPr>
              <w:numPr>
                <w:ilvl w:val="0"/>
                <w:numId w:val="2"/>
              </w:numPr>
              <w:spacing w:after="0" w:line="231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Registered Skills Programmes for Unemployed Youth</w:t>
            </w:r>
          </w:p>
          <w:p w14:paraId="47EBE6EE" w14:textId="77777777" w:rsidR="008D3C98" w:rsidRPr="008D3C98" w:rsidRDefault="008D3C98" w:rsidP="008D3C98">
            <w:pPr>
              <w:spacing w:after="0"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 </w:t>
            </w:r>
          </w:p>
          <w:p w14:paraId="400723AF" w14:textId="77777777" w:rsidR="008D3C98" w:rsidRPr="008D3C98" w:rsidRDefault="008D3C98" w:rsidP="008D3C98">
            <w:pPr>
              <w:spacing w:after="0" w:line="231" w:lineRule="atLeast"/>
              <w:ind w:left="360" w:hanging="360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·        Submit complete and sign application forms. All sections </w:t>
            </w:r>
            <w:r w:rsidRPr="008D3C98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must</w:t>
            </w: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 be completed in full.</w:t>
            </w:r>
          </w:p>
        </w:tc>
      </w:tr>
      <w:tr w:rsidR="008D3C98" w:rsidRPr="008D3C98" w14:paraId="54CC4E74" w14:textId="77777777" w:rsidTr="008D3C98">
        <w:trPr>
          <w:trHeight w:val="552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BAF6" w14:textId="77777777" w:rsidR="008D3C98" w:rsidRPr="008D3C98" w:rsidRDefault="008D3C98" w:rsidP="008D3C98">
            <w:pPr>
              <w:spacing w:after="0" w:line="231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lastRenderedPageBreak/>
              <w:t>Application Register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6E38" w14:textId="77777777" w:rsidR="008D3C98" w:rsidRPr="008D3C98" w:rsidRDefault="008D3C98" w:rsidP="008D3C98">
            <w:pPr>
              <w:numPr>
                <w:ilvl w:val="0"/>
                <w:numId w:val="3"/>
              </w:numPr>
              <w:spacing w:after="0" w:line="231" w:lineRule="atLeast"/>
              <w:ind w:left="144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Capture all applications – per category - on the application register provided.</w:t>
            </w:r>
          </w:p>
          <w:p w14:paraId="685D481D" w14:textId="77777777" w:rsidR="008D3C98" w:rsidRPr="008D3C98" w:rsidRDefault="008D3C98" w:rsidP="008D3C98">
            <w:pPr>
              <w:numPr>
                <w:ilvl w:val="0"/>
                <w:numId w:val="3"/>
              </w:numPr>
              <w:spacing w:after="0" w:line="231" w:lineRule="atLeast"/>
              <w:ind w:left="144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The register is in Excel Format.</w:t>
            </w:r>
          </w:p>
          <w:p w14:paraId="5DA45E58" w14:textId="77777777" w:rsidR="008D3C98" w:rsidRPr="008D3C98" w:rsidRDefault="008D3C98" w:rsidP="008D3C98">
            <w:pPr>
              <w:numPr>
                <w:ilvl w:val="0"/>
                <w:numId w:val="3"/>
              </w:numPr>
              <w:spacing w:after="0" w:line="231" w:lineRule="atLeast"/>
              <w:ind w:left="144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This is a compulsory document that needs to be completed in full.</w:t>
            </w:r>
          </w:p>
          <w:p w14:paraId="05C43FB2" w14:textId="1615043A" w:rsidR="008D3C98" w:rsidRPr="008D3C98" w:rsidRDefault="008D3C98" w:rsidP="008D3C98">
            <w:pPr>
              <w:numPr>
                <w:ilvl w:val="0"/>
                <w:numId w:val="3"/>
              </w:numPr>
              <w:spacing w:after="0" w:line="231" w:lineRule="atLeast"/>
              <w:ind w:left="144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8D3C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For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information protection,</w:t>
            </w:r>
            <w:r w:rsidRPr="008D3C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the employer may password-protect this register</w:t>
            </w:r>
            <w:r w:rsidRPr="008D3C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en-ZA"/>
                <w14:ligatures w14:val="none"/>
              </w:rPr>
              <w:t>, but please do not PDF this document. </w:t>
            </w:r>
          </w:p>
        </w:tc>
      </w:tr>
    </w:tbl>
    <w:p w14:paraId="3CEA9A39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</w:t>
      </w:r>
    </w:p>
    <w:p w14:paraId="0F2B4DA2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</w:t>
      </w:r>
    </w:p>
    <w:p w14:paraId="0B4DF9ED" w14:textId="453BDF06" w:rsidR="008D3C98" w:rsidRPr="008D3C98" w:rsidRDefault="008D3C98" w:rsidP="008D3C98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All applications should be submitted in electronic format (softcopy) via a secure platform preferred by the applicant. The link should be sent to the </w:t>
      </w:r>
      <w:r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Discretionary Grant Funding Window email inbox below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. This email inbox is for both Employed and Unemployed applications. Please 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bdr w:val="none" w:sz="0" w:space="0" w:color="auto" w:frame="1"/>
          <w:lang w:eastAsia="en-ZA"/>
          <w14:ligatures w14:val="none"/>
        </w:rPr>
        <w:t>do not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 put an </w:t>
      </w:r>
      <w:r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expiration date to access documents to ensure they are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 available for verification and audit purposes up to 31 March 202</w:t>
      </w:r>
      <w:r w:rsidR="00C85694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5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.</w:t>
      </w:r>
    </w:p>
    <w:p w14:paraId="4979A3CE" w14:textId="77777777" w:rsidR="008D3C98" w:rsidRPr="008D3C98" w:rsidRDefault="008D3C98" w:rsidP="008D3C98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</w:t>
      </w:r>
    </w:p>
    <w:p w14:paraId="5A8E0434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u w:val="single"/>
          <w:bdr w:val="none" w:sz="0" w:space="0" w:color="auto" w:frame="1"/>
          <w:lang w:eastAsia="en-ZA"/>
          <w14:ligatures w14:val="none"/>
        </w:rPr>
        <w:t>Upon submission, please ensure to:</w:t>
      </w:r>
    </w:p>
    <w:p w14:paraId="15442E16" w14:textId="7C9B6DBB" w:rsidR="008D3C98" w:rsidRPr="008D3C98" w:rsidRDefault="008D3C98" w:rsidP="008D3C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Submit and record each </w:t>
      </w:r>
      <w:r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funding application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 separately. Each application should be accompanied by an Application Register per category for Employed or Unemployed. (</w:t>
      </w:r>
      <w:r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i.e.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 Application for Learnerships for Employed + Application Register for Learnerships for Employed)</w:t>
      </w:r>
    </w:p>
    <w:p w14:paraId="73A8CABF" w14:textId="77777777" w:rsidR="008D3C98" w:rsidRPr="008D3C98" w:rsidRDefault="008D3C98" w:rsidP="008D3C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Verify all documents to ensure it’s not duplicated or corrupt in any way.</w:t>
      </w:r>
    </w:p>
    <w:p w14:paraId="2D76E98A" w14:textId="77777777" w:rsidR="008D3C98" w:rsidRPr="008D3C98" w:rsidRDefault="008D3C98" w:rsidP="008D3C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Submission will consist of 2 documents only. The application form and the application register. This needs to be duly completed in full.</w:t>
      </w:r>
    </w:p>
    <w:p w14:paraId="45EA1931" w14:textId="4C926912" w:rsidR="008D3C98" w:rsidRPr="008D3C98" w:rsidRDefault="008D3C98" w:rsidP="008D3C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Ensure timeous submission of application and register to the email address </w:t>
      </w:r>
      <w:hyperlink r:id="rId5" w:history="1">
        <w:r w:rsidRPr="008D3C98">
          <w:rPr>
            <w:rStyle w:val="Hyperlink"/>
            <w:rFonts w:ascii="Arial" w:eastAsia="Times New Roman" w:hAnsi="Arial" w:cs="Arial"/>
            <w:b/>
            <w:bCs/>
            <w:kern w:val="0"/>
            <w:sz w:val="24"/>
            <w:szCs w:val="24"/>
            <w:bdr w:val="none" w:sz="0" w:space="0" w:color="auto" w:frame="1"/>
            <w:lang w:eastAsia="en-ZA"/>
            <w14:ligatures w14:val="none"/>
          </w:rPr>
          <w:t>DGFWapplications202</w:t>
        </w:r>
        <w:r w:rsidRPr="00C5281E">
          <w:rPr>
            <w:rStyle w:val="Hyperlink"/>
            <w:rFonts w:ascii="Arial" w:eastAsia="Times New Roman" w:hAnsi="Arial" w:cs="Arial"/>
            <w:b/>
            <w:bCs/>
            <w:kern w:val="0"/>
            <w:sz w:val="24"/>
            <w:szCs w:val="24"/>
            <w:bdr w:val="none" w:sz="0" w:space="0" w:color="auto" w:frame="1"/>
            <w:lang w:eastAsia="en-ZA"/>
            <w14:ligatures w14:val="none"/>
          </w:rPr>
          <w:t>4</w:t>
        </w:r>
        <w:r w:rsidRPr="008D3C98">
          <w:rPr>
            <w:rStyle w:val="Hyperlink"/>
            <w:rFonts w:ascii="Arial" w:eastAsia="Times New Roman" w:hAnsi="Arial" w:cs="Arial"/>
            <w:b/>
            <w:bCs/>
            <w:kern w:val="0"/>
            <w:sz w:val="24"/>
            <w:szCs w:val="24"/>
            <w:bdr w:val="none" w:sz="0" w:space="0" w:color="auto" w:frame="1"/>
            <w:lang w:eastAsia="en-ZA"/>
            <w14:ligatures w14:val="none"/>
          </w:rPr>
          <w:t>@bankseta.org.za</w:t>
        </w:r>
      </w:hyperlink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) as emails received past the due date and time will not be considered regardless of the time </w:t>
      </w:r>
      <w:r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sent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 by the applicant. </w:t>
      </w:r>
    </w:p>
    <w:p w14:paraId="40D54045" w14:textId="27D5AE3C" w:rsidR="008D3C98" w:rsidRPr="008D3C98" w:rsidRDefault="008D3C98" w:rsidP="008D3C9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lastRenderedPageBreak/>
        <w:t>Index the email in the Subject Line: 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u w:val="single"/>
          <w:bdr w:val="none" w:sz="0" w:space="0" w:color="auto" w:frame="1"/>
          <w:lang w:eastAsia="en-ZA"/>
          <w14:ligatures w14:val="none"/>
        </w:rPr>
        <w:t>Bank Name, Learning Category and Number of learners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, i.e. Nedbank, Learnerships for Employed, 100 learners.</w:t>
      </w:r>
    </w:p>
    <w:p w14:paraId="500F7E3E" w14:textId="77777777" w:rsidR="008D3C98" w:rsidRPr="008D3C98" w:rsidRDefault="008D3C98" w:rsidP="008D3C98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</w:t>
      </w:r>
    </w:p>
    <w:p w14:paraId="7D6AEEEE" w14:textId="2315683E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 xml:space="preserve">All applications' closing date and time 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 xml:space="preserve">is </w:t>
      </w:r>
      <w:r w:rsidR="00373AC2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>16:00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 xml:space="preserve"> on </w:t>
      </w:r>
      <w:r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>Wednesday,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 xml:space="preserve"> 28 February 202</w:t>
      </w:r>
      <w:r w:rsidR="00D52CE1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>4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shd w:val="clear" w:color="auto" w:fill="00FFFF"/>
          <w:lang w:eastAsia="en-ZA"/>
          <w14:ligatures w14:val="none"/>
        </w:rPr>
        <w:t>.</w:t>
      </w: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 </w:t>
      </w:r>
    </w:p>
    <w:p w14:paraId="0A5D1B92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 </w:t>
      </w:r>
    </w:p>
    <w:p w14:paraId="30F7744D" w14:textId="6F3977A4" w:rsidR="008D3C98" w:rsidRPr="008D3C98" w:rsidRDefault="008D3C98" w:rsidP="008D3C98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Employers are urged to submit the necessary documents </w:t>
      </w:r>
      <w:r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promptly and with the requisite information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 </w:t>
      </w:r>
      <w:r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to assess applications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 xml:space="preserve"> without delay.</w:t>
      </w:r>
    </w:p>
    <w:p w14:paraId="203573A9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</w:t>
      </w: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val="en-GB" w:eastAsia="en-ZA"/>
          <w14:ligatures w14:val="none"/>
        </w:rPr>
        <w:t> </w:t>
      </w:r>
    </w:p>
    <w:p w14:paraId="3DA2CB06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val="en-GB" w:eastAsia="en-ZA"/>
          <w14:ligatures w14:val="none"/>
        </w:rPr>
        <w:t>We look forward to receiving your applications!</w:t>
      </w:r>
    </w:p>
    <w:p w14:paraId="29537A9A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 </w:t>
      </w:r>
    </w:p>
    <w:p w14:paraId="02931C1F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bdr w:val="none" w:sz="0" w:space="0" w:color="auto" w:frame="1"/>
          <w:lang w:val="en-US" w:eastAsia="en-ZA"/>
          <w14:ligatures w14:val="none"/>
        </w:rPr>
        <w:t>Regards,</w:t>
      </w:r>
    </w:p>
    <w:p w14:paraId="60AA9140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bdr w:val="none" w:sz="0" w:space="0" w:color="auto" w:frame="1"/>
          <w:lang w:eastAsia="en-ZA"/>
          <w14:ligatures w14:val="none"/>
        </w:rPr>
        <w:t>The BANKSETA Team</w:t>
      </w:r>
    </w:p>
    <w:p w14:paraId="0A9322BE" w14:textId="77777777" w:rsidR="008D3C98" w:rsidRPr="008D3C98" w:rsidRDefault="008D3C98" w:rsidP="008D3C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</w:pPr>
      <w:r w:rsidRPr="008D3C98">
        <w:rPr>
          <w:rFonts w:ascii="Arial" w:eastAsia="Times New Roman" w:hAnsi="Arial" w:cs="Arial"/>
          <w:color w:val="242424"/>
          <w:kern w:val="0"/>
          <w:sz w:val="24"/>
          <w:szCs w:val="24"/>
          <w:lang w:eastAsia="en-ZA"/>
          <w14:ligatures w14:val="none"/>
        </w:rPr>
        <w:t> </w:t>
      </w:r>
    </w:p>
    <w:p w14:paraId="4D57640C" w14:textId="77777777" w:rsidR="00537570" w:rsidRPr="008D3C98" w:rsidRDefault="00537570">
      <w:pPr>
        <w:rPr>
          <w:rFonts w:ascii="Arial" w:hAnsi="Arial" w:cs="Arial"/>
          <w:sz w:val="24"/>
          <w:szCs w:val="24"/>
        </w:rPr>
      </w:pPr>
    </w:p>
    <w:sectPr w:rsidR="00537570" w:rsidRPr="008D3C98" w:rsidSect="008D3C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1186"/>
    <w:multiLevelType w:val="multilevel"/>
    <w:tmpl w:val="EBDE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C6E08"/>
    <w:multiLevelType w:val="multilevel"/>
    <w:tmpl w:val="EFB0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363EC4"/>
    <w:multiLevelType w:val="multilevel"/>
    <w:tmpl w:val="4E38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13199C"/>
    <w:multiLevelType w:val="multilevel"/>
    <w:tmpl w:val="46E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7349192">
    <w:abstractNumId w:val="3"/>
  </w:num>
  <w:num w:numId="2" w16cid:durableId="1719166933">
    <w:abstractNumId w:val="0"/>
  </w:num>
  <w:num w:numId="3" w16cid:durableId="1799373784">
    <w:abstractNumId w:val="1"/>
  </w:num>
  <w:num w:numId="4" w16cid:durableId="26118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98"/>
    <w:rsid w:val="00373AC2"/>
    <w:rsid w:val="00537570"/>
    <w:rsid w:val="007C01E2"/>
    <w:rsid w:val="008D3C98"/>
    <w:rsid w:val="00980406"/>
    <w:rsid w:val="00995594"/>
    <w:rsid w:val="00A8009F"/>
    <w:rsid w:val="00C85694"/>
    <w:rsid w:val="00D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22DEF6"/>
  <w15:chartTrackingRefBased/>
  <w15:docId w15:val="{F3A0EF5B-1925-4E5E-A0BC-1DAD435A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D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ms-button-flexcontainer">
    <w:name w:val="ms-button-flexcontainer"/>
    <w:basedOn w:val="DefaultParagraphFont"/>
    <w:rsid w:val="008D3C98"/>
  </w:style>
  <w:style w:type="paragraph" w:customStyle="1" w:styleId="xmsolistparagraph">
    <w:name w:val="x_msolistparagraph"/>
    <w:basedOn w:val="Normal"/>
    <w:rsid w:val="008D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8D3C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FWapplications2024@bankseta.org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Sfiso Dimba</dc:creator>
  <cp:keywords/>
  <dc:description/>
  <cp:lastModifiedBy>Dr. Tsietsi Raleting</cp:lastModifiedBy>
  <cp:revision>2</cp:revision>
  <dcterms:created xsi:type="dcterms:W3CDTF">2023-12-18T14:07:00Z</dcterms:created>
  <dcterms:modified xsi:type="dcterms:W3CDTF">2023-12-18T14:07:00Z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61ec855f-81f7-4e29-bb2c-0bc6904fc449</vt:lpwstr>
  </property>
</Properties>
</file>